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DD" w:rsidRPr="00EA25D1" w:rsidRDefault="002335DD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 w:rsidRPr="00EA25D1">
        <w:rPr>
          <w:b/>
          <w:color w:val="auto"/>
          <w:sz w:val="24"/>
          <w:szCs w:val="24"/>
        </w:rPr>
        <w:t xml:space="preserve">Osnovna škola Ivana Kukuljevića Sakcinskog </w:t>
      </w:r>
      <w:r w:rsidRPr="00EA25D1">
        <w:rPr>
          <w:b/>
          <w:color w:val="auto"/>
          <w:sz w:val="24"/>
          <w:szCs w:val="24"/>
        </w:rPr>
        <w:tab/>
      </w:r>
      <w:r w:rsidRPr="00EA25D1">
        <w:rPr>
          <w:b/>
          <w:color w:val="auto"/>
          <w:sz w:val="24"/>
          <w:szCs w:val="24"/>
        </w:rPr>
        <w:tab/>
        <w:t xml:space="preserve">MB: </w:t>
      </w:r>
      <w:r w:rsidRPr="00F03168">
        <w:rPr>
          <w:color w:val="auto"/>
          <w:sz w:val="24"/>
          <w:szCs w:val="24"/>
        </w:rPr>
        <w:t>03125408</w:t>
      </w:r>
    </w:p>
    <w:p w:rsidR="002335DD" w:rsidRPr="00EA25D1" w:rsidRDefault="00753612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</w:t>
      </w:r>
      <w:r w:rsidR="002335DD" w:rsidRPr="00EA25D1">
        <w:rPr>
          <w:b/>
          <w:color w:val="auto"/>
          <w:sz w:val="24"/>
          <w:szCs w:val="24"/>
        </w:rPr>
        <w:t>k. Ladislava Šabana 17</w:t>
      </w:r>
      <w:r w:rsidR="002335DD">
        <w:rPr>
          <w:b/>
          <w:color w:val="auto"/>
          <w:sz w:val="24"/>
          <w:szCs w:val="24"/>
        </w:rPr>
        <w:tab/>
      </w:r>
      <w:r w:rsidR="002335DD">
        <w:rPr>
          <w:b/>
          <w:color w:val="auto"/>
          <w:sz w:val="24"/>
          <w:szCs w:val="24"/>
        </w:rPr>
        <w:tab/>
      </w:r>
      <w:r w:rsidR="002335DD">
        <w:rPr>
          <w:b/>
          <w:color w:val="auto"/>
          <w:sz w:val="24"/>
          <w:szCs w:val="24"/>
        </w:rPr>
        <w:tab/>
      </w:r>
      <w:r w:rsidR="002335DD">
        <w:rPr>
          <w:b/>
          <w:color w:val="auto"/>
          <w:sz w:val="24"/>
          <w:szCs w:val="24"/>
        </w:rPr>
        <w:tab/>
      </w:r>
      <w:r w:rsidR="002335DD">
        <w:rPr>
          <w:b/>
          <w:color w:val="auto"/>
          <w:sz w:val="24"/>
          <w:szCs w:val="24"/>
        </w:rPr>
        <w:tab/>
      </w:r>
      <w:r w:rsidR="002335DD" w:rsidRPr="00EA25D1">
        <w:rPr>
          <w:b/>
          <w:color w:val="auto"/>
          <w:sz w:val="24"/>
          <w:szCs w:val="24"/>
        </w:rPr>
        <w:t xml:space="preserve">OIB: </w:t>
      </w:r>
      <w:r w:rsidR="002335DD" w:rsidRPr="00F03168">
        <w:rPr>
          <w:color w:val="auto"/>
          <w:sz w:val="24"/>
          <w:szCs w:val="24"/>
        </w:rPr>
        <w:t>16575689564</w:t>
      </w:r>
    </w:p>
    <w:p w:rsidR="00F03168" w:rsidRDefault="002335DD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 w:rsidRPr="00EA25D1">
        <w:rPr>
          <w:b/>
          <w:color w:val="auto"/>
          <w:sz w:val="24"/>
          <w:szCs w:val="24"/>
        </w:rPr>
        <w:t>42240 Ivanec</w:t>
      </w:r>
      <w:r w:rsidRPr="00EA25D1">
        <w:rPr>
          <w:b/>
          <w:color w:val="auto"/>
          <w:sz w:val="24"/>
          <w:szCs w:val="24"/>
        </w:rPr>
        <w:tab/>
      </w:r>
      <w:r w:rsidR="00F03168">
        <w:rPr>
          <w:b/>
          <w:color w:val="auto"/>
          <w:sz w:val="24"/>
          <w:szCs w:val="24"/>
        </w:rPr>
        <w:tab/>
      </w:r>
    </w:p>
    <w:p w:rsidR="002335DD" w:rsidRPr="00EA25D1" w:rsidRDefault="00F03168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2335DD" w:rsidRPr="00EA25D1">
        <w:rPr>
          <w:b/>
          <w:color w:val="auto"/>
          <w:sz w:val="24"/>
          <w:szCs w:val="24"/>
        </w:rPr>
        <w:t xml:space="preserve">BROJ RKP-a: </w:t>
      </w:r>
      <w:r w:rsidR="002335DD" w:rsidRPr="00F03168">
        <w:rPr>
          <w:color w:val="auto"/>
          <w:sz w:val="24"/>
          <w:szCs w:val="24"/>
        </w:rPr>
        <w:t>13797</w:t>
      </w:r>
    </w:p>
    <w:p w:rsidR="002335DD" w:rsidRPr="00EA25D1" w:rsidRDefault="002335DD" w:rsidP="00F03168">
      <w:pPr>
        <w:spacing w:after="0" w:line="276" w:lineRule="auto"/>
        <w:ind w:left="0"/>
        <w:rPr>
          <w:b/>
          <w:color w:val="auto"/>
          <w:sz w:val="24"/>
          <w:szCs w:val="24"/>
        </w:rPr>
      </w:pPr>
      <w:r w:rsidRPr="00EA25D1">
        <w:rPr>
          <w:b/>
          <w:color w:val="auto"/>
          <w:sz w:val="24"/>
          <w:szCs w:val="24"/>
        </w:rPr>
        <w:t>Klasa:</w:t>
      </w:r>
      <w:r w:rsidR="00F340F0">
        <w:rPr>
          <w:b/>
          <w:color w:val="auto"/>
          <w:sz w:val="24"/>
          <w:szCs w:val="24"/>
        </w:rPr>
        <w:t xml:space="preserve"> </w:t>
      </w:r>
      <w:r w:rsidR="001D1A8C">
        <w:rPr>
          <w:color w:val="auto"/>
          <w:sz w:val="24"/>
          <w:szCs w:val="24"/>
        </w:rPr>
        <w:t>400-01/21-01-1</w:t>
      </w:r>
      <w:bookmarkStart w:id="0" w:name="_GoBack"/>
      <w:bookmarkEnd w:id="0"/>
      <w:r w:rsidR="00404120">
        <w:rPr>
          <w:color w:val="auto"/>
          <w:sz w:val="24"/>
          <w:szCs w:val="24"/>
        </w:rPr>
        <w:tab/>
      </w:r>
      <w:r w:rsidR="00404120">
        <w:rPr>
          <w:color w:val="auto"/>
          <w:sz w:val="24"/>
          <w:szCs w:val="24"/>
        </w:rPr>
        <w:tab/>
      </w:r>
      <w:r w:rsidR="00404120">
        <w:rPr>
          <w:color w:val="auto"/>
          <w:sz w:val="24"/>
          <w:szCs w:val="24"/>
        </w:rPr>
        <w:tab/>
      </w:r>
      <w:r w:rsidR="00F03168">
        <w:rPr>
          <w:b/>
          <w:color w:val="auto"/>
          <w:sz w:val="24"/>
          <w:szCs w:val="24"/>
        </w:rPr>
        <w:tab/>
      </w:r>
      <w:r w:rsidR="00F03168">
        <w:rPr>
          <w:b/>
          <w:color w:val="auto"/>
          <w:sz w:val="24"/>
          <w:szCs w:val="24"/>
        </w:rPr>
        <w:tab/>
      </w:r>
      <w:r w:rsidRPr="00EA25D1">
        <w:rPr>
          <w:b/>
          <w:color w:val="auto"/>
          <w:sz w:val="24"/>
          <w:szCs w:val="24"/>
        </w:rPr>
        <w:t xml:space="preserve">RAZINA: </w:t>
      </w:r>
      <w:r w:rsidRPr="00F03168">
        <w:rPr>
          <w:color w:val="auto"/>
          <w:sz w:val="24"/>
          <w:szCs w:val="24"/>
        </w:rPr>
        <w:t>31</w:t>
      </w:r>
    </w:p>
    <w:p w:rsidR="002335DD" w:rsidRDefault="00F03168" w:rsidP="00F03168">
      <w:pPr>
        <w:spacing w:after="0" w:line="360" w:lineRule="auto"/>
        <w:ind w:left="0"/>
        <w:rPr>
          <w:b/>
          <w:color w:val="auto"/>
          <w:sz w:val="24"/>
          <w:szCs w:val="24"/>
        </w:rPr>
      </w:pPr>
      <w:r w:rsidRPr="00EA25D1">
        <w:rPr>
          <w:b/>
          <w:color w:val="auto"/>
          <w:sz w:val="24"/>
          <w:szCs w:val="24"/>
        </w:rPr>
        <w:t>Urbroj</w:t>
      </w:r>
      <w:r w:rsidR="002335DD" w:rsidRPr="00EA25D1">
        <w:rPr>
          <w:b/>
          <w:color w:val="auto"/>
          <w:sz w:val="24"/>
          <w:szCs w:val="24"/>
        </w:rPr>
        <w:t>:</w:t>
      </w:r>
      <w:r w:rsidR="001D1A8C">
        <w:rPr>
          <w:b/>
          <w:color w:val="auto"/>
          <w:sz w:val="24"/>
          <w:szCs w:val="24"/>
        </w:rPr>
        <w:t xml:space="preserve"> </w:t>
      </w:r>
      <w:r w:rsidR="001D1A8C" w:rsidRPr="001D1A8C">
        <w:rPr>
          <w:color w:val="auto"/>
          <w:sz w:val="24"/>
          <w:szCs w:val="24"/>
        </w:rPr>
        <w:t>2186-118-01-21-4</w:t>
      </w:r>
      <w:r w:rsidR="00F340F0">
        <w:rPr>
          <w:b/>
          <w:color w:val="auto"/>
          <w:sz w:val="24"/>
          <w:szCs w:val="24"/>
        </w:rPr>
        <w:t xml:space="preserve"> </w:t>
      </w:r>
      <w:r w:rsidR="00404120">
        <w:rPr>
          <w:color w:val="auto"/>
          <w:sz w:val="24"/>
          <w:szCs w:val="24"/>
        </w:rPr>
        <w:tab/>
      </w:r>
      <w:r w:rsidR="00404120">
        <w:rPr>
          <w:color w:val="auto"/>
          <w:sz w:val="24"/>
          <w:szCs w:val="24"/>
        </w:rPr>
        <w:tab/>
      </w:r>
      <w:r w:rsidR="00404120">
        <w:rPr>
          <w:color w:val="auto"/>
          <w:sz w:val="24"/>
          <w:szCs w:val="24"/>
        </w:rPr>
        <w:tab/>
      </w:r>
      <w:r w:rsidR="00D262FD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="002335DD" w:rsidRPr="00EA25D1">
        <w:rPr>
          <w:b/>
          <w:color w:val="auto"/>
          <w:sz w:val="24"/>
          <w:szCs w:val="24"/>
        </w:rPr>
        <w:t xml:space="preserve">ŠIFRA DJELATNOSTI: </w:t>
      </w:r>
      <w:r w:rsidR="002335DD" w:rsidRPr="00F03168">
        <w:rPr>
          <w:color w:val="auto"/>
          <w:sz w:val="24"/>
          <w:szCs w:val="24"/>
        </w:rPr>
        <w:t>8520</w:t>
      </w:r>
    </w:p>
    <w:p w:rsidR="002335DD" w:rsidRDefault="002335DD" w:rsidP="002335DD">
      <w:pPr>
        <w:ind w:left="0"/>
        <w:rPr>
          <w:b/>
          <w:color w:val="auto"/>
          <w:sz w:val="24"/>
          <w:szCs w:val="24"/>
        </w:rPr>
      </w:pPr>
    </w:p>
    <w:p w:rsidR="002335DD" w:rsidRDefault="002335DD" w:rsidP="002335DD">
      <w:pPr>
        <w:ind w:left="0"/>
        <w:rPr>
          <w:b/>
          <w:color w:val="auto"/>
          <w:sz w:val="24"/>
          <w:szCs w:val="24"/>
        </w:rPr>
      </w:pPr>
    </w:p>
    <w:p w:rsidR="002335DD" w:rsidRDefault="002335DD" w:rsidP="002335DD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Bilješke uz financijske izvještaje</w:t>
      </w:r>
    </w:p>
    <w:p w:rsidR="00F93FEC" w:rsidRDefault="00404120" w:rsidP="006A36D1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01.01.2020. – 31.12.2020</w:t>
      </w:r>
      <w:r w:rsidR="002335DD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6A36D1" w:rsidRDefault="006A36D1" w:rsidP="006A36D1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335DD" w:rsidRPr="00EC576C" w:rsidRDefault="00404120" w:rsidP="006A36D1">
      <w:pPr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Financijski izvještaji za 2020</w:t>
      </w:r>
      <w:r w:rsidR="006A36D1">
        <w:rPr>
          <w:rFonts w:ascii="Times New Roman" w:hAnsi="Times New Roman" w:cs="Times New Roman"/>
          <w:color w:val="auto"/>
          <w:sz w:val="24"/>
          <w:szCs w:val="24"/>
        </w:rPr>
        <w:t xml:space="preserve">. sastavljeni su prema </w:t>
      </w:r>
      <w:r w:rsidR="006A36D1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Pravilniku o financijskom izvještavanju u proračunskom računovodstvu (NN </w:t>
      </w:r>
      <w:r w:rsidR="004A3E92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br. 3/15, 93/15, 135/15, 2/17 , </w:t>
      </w:r>
      <w:r w:rsidR="006A36D1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>28/17</w:t>
      </w:r>
      <w:r w:rsidR="004A3E92" w:rsidRPr="00EC576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i 112/18).</w:t>
      </w:r>
    </w:p>
    <w:p w:rsidR="00F03168" w:rsidRPr="00FF20A0" w:rsidRDefault="00F03168" w:rsidP="00F0316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0A0">
        <w:rPr>
          <w:rFonts w:ascii="Times New Roman" w:hAnsi="Times New Roman" w:cs="Times New Roman"/>
          <w:b/>
          <w:sz w:val="24"/>
          <w:szCs w:val="24"/>
          <w:u w:val="single"/>
        </w:rPr>
        <w:t>OBRAZAC BILANCA</w:t>
      </w:r>
    </w:p>
    <w:p w:rsidR="00F03168" w:rsidRPr="00100E9E" w:rsidRDefault="00F03168" w:rsidP="00F031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5159A" w:rsidRDefault="0075159A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9A">
        <w:rPr>
          <w:rFonts w:ascii="Times New Roman" w:hAnsi="Times New Roman" w:cs="Times New Roman"/>
          <w:b/>
          <w:sz w:val="24"/>
          <w:szCs w:val="24"/>
        </w:rPr>
        <w:t>AOP 001</w:t>
      </w:r>
      <w:r w:rsidR="00404120">
        <w:rPr>
          <w:rFonts w:ascii="Times New Roman" w:hAnsi="Times New Roman" w:cs="Times New Roman"/>
          <w:sz w:val="24"/>
          <w:szCs w:val="24"/>
        </w:rPr>
        <w:t xml:space="preserve"> -  u 2020</w:t>
      </w:r>
      <w:r w:rsidR="00712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imamo porast vrijednosti imovin</w:t>
      </w:r>
      <w:r w:rsidR="00404120">
        <w:rPr>
          <w:rFonts w:ascii="Times New Roman" w:hAnsi="Times New Roman" w:cs="Times New Roman"/>
          <w:sz w:val="24"/>
          <w:szCs w:val="24"/>
        </w:rPr>
        <w:t>e u odnosu na prošlu godinu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3168" w:rsidRPr="00100E9E">
        <w:rPr>
          <w:rFonts w:ascii="Times New Roman" w:hAnsi="Times New Roman" w:cs="Times New Roman"/>
          <w:sz w:val="24"/>
          <w:szCs w:val="24"/>
        </w:rPr>
        <w:t xml:space="preserve"> budući da </w:t>
      </w:r>
      <w:r w:rsidR="00404120">
        <w:rPr>
          <w:rFonts w:ascii="Times New Roman" w:hAnsi="Times New Roman" w:cs="Times New Roman"/>
          <w:sz w:val="24"/>
          <w:szCs w:val="24"/>
        </w:rPr>
        <w:t>je u svibnju 2020. godine za kuhinju OŠ Iv</w:t>
      </w:r>
      <w:r w:rsidR="004C1F85">
        <w:rPr>
          <w:rFonts w:ascii="Times New Roman" w:hAnsi="Times New Roman" w:cs="Times New Roman"/>
          <w:sz w:val="24"/>
          <w:szCs w:val="24"/>
        </w:rPr>
        <w:t xml:space="preserve">anec nabavljen jedna konvektomat </w:t>
      </w:r>
      <w:r w:rsidR="00404120">
        <w:rPr>
          <w:rFonts w:ascii="Times New Roman" w:hAnsi="Times New Roman" w:cs="Times New Roman"/>
          <w:sz w:val="24"/>
          <w:szCs w:val="24"/>
        </w:rPr>
        <w:t xml:space="preserve"> u iznosu od 4</w:t>
      </w:r>
      <w:r w:rsidR="00753612">
        <w:rPr>
          <w:rFonts w:ascii="Times New Roman" w:hAnsi="Times New Roman" w:cs="Times New Roman"/>
          <w:sz w:val="24"/>
          <w:szCs w:val="24"/>
        </w:rPr>
        <w:t>0</w:t>
      </w:r>
      <w:r w:rsidR="00404120">
        <w:rPr>
          <w:rFonts w:ascii="Times New Roman" w:hAnsi="Times New Roman" w:cs="Times New Roman"/>
          <w:sz w:val="24"/>
          <w:szCs w:val="24"/>
        </w:rPr>
        <w:t>.</w:t>
      </w:r>
      <w:r w:rsidR="00753612">
        <w:rPr>
          <w:rFonts w:ascii="Times New Roman" w:hAnsi="Times New Roman" w:cs="Times New Roman"/>
          <w:sz w:val="24"/>
          <w:szCs w:val="24"/>
        </w:rPr>
        <w:t>712</w:t>
      </w:r>
      <w:r w:rsidR="00404120">
        <w:rPr>
          <w:rFonts w:ascii="Times New Roman" w:hAnsi="Times New Roman" w:cs="Times New Roman"/>
          <w:sz w:val="24"/>
          <w:szCs w:val="24"/>
        </w:rPr>
        <w:t>,</w:t>
      </w:r>
      <w:r w:rsidR="00753612">
        <w:rPr>
          <w:rFonts w:ascii="Times New Roman" w:hAnsi="Times New Roman" w:cs="Times New Roman"/>
          <w:sz w:val="24"/>
          <w:szCs w:val="24"/>
        </w:rPr>
        <w:t>5</w:t>
      </w:r>
      <w:r w:rsidR="00404120">
        <w:rPr>
          <w:rFonts w:ascii="Times New Roman" w:hAnsi="Times New Roman" w:cs="Times New Roman"/>
          <w:sz w:val="24"/>
          <w:szCs w:val="24"/>
        </w:rPr>
        <w:t xml:space="preserve">0 kuna, </w:t>
      </w:r>
      <w:r w:rsidR="004C1F85">
        <w:rPr>
          <w:rFonts w:ascii="Times New Roman" w:hAnsi="Times New Roman" w:cs="Times New Roman"/>
          <w:sz w:val="24"/>
          <w:szCs w:val="24"/>
        </w:rPr>
        <w:t xml:space="preserve"> u </w:t>
      </w:r>
      <w:r w:rsidR="00753612">
        <w:rPr>
          <w:rFonts w:ascii="Times New Roman" w:hAnsi="Times New Roman" w:cs="Times New Roman"/>
          <w:sz w:val="24"/>
          <w:szCs w:val="24"/>
        </w:rPr>
        <w:t>srpnju</w:t>
      </w:r>
      <w:r w:rsidR="004C1F85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 xml:space="preserve">godine Škola </w:t>
      </w:r>
      <w:r w:rsidR="004C1F85">
        <w:rPr>
          <w:rFonts w:ascii="Times New Roman" w:hAnsi="Times New Roman" w:cs="Times New Roman"/>
          <w:sz w:val="24"/>
          <w:szCs w:val="24"/>
        </w:rPr>
        <w:t xml:space="preserve">je prema odluci Ministarstva, kako bi se moglo provesti uvođenje izbornog predmeta informatike u šk. godini 2020./2021. nabavila hibridna računala/ laptope u iznosu od 47.600,00 kuna, u listopadu je primila sredstva iz Županijskog proračuna u vrijednosti od 81.944,00 kuna za opremanje informatičke učionice u OŠ Ivanec.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F85">
        <w:rPr>
          <w:rFonts w:ascii="Times New Roman" w:hAnsi="Times New Roman" w:cs="Times New Roman"/>
          <w:sz w:val="24"/>
          <w:szCs w:val="24"/>
        </w:rPr>
        <w:t xml:space="preserve">Uz sve nabrojeno tu je i energetska obnova područnih škola, stanje na kontu 05112 Građevinski objekti u pripremi iznosi trenutno 2.131.453,00 kuna. </w:t>
      </w:r>
    </w:p>
    <w:p w:rsidR="0075159A" w:rsidRDefault="0075159A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9A">
        <w:rPr>
          <w:rFonts w:ascii="Times New Roman" w:hAnsi="Times New Roman" w:cs="Times New Roman"/>
          <w:b/>
          <w:sz w:val="24"/>
          <w:szCs w:val="24"/>
        </w:rPr>
        <w:t>AOP 015</w:t>
      </w:r>
      <w:r>
        <w:rPr>
          <w:rFonts w:ascii="Times New Roman" w:hAnsi="Times New Roman" w:cs="Times New Roman"/>
          <w:sz w:val="24"/>
          <w:szCs w:val="24"/>
        </w:rPr>
        <w:t xml:space="preserve"> – Uredska oprema i namještaj – sredstva su utrošena za</w:t>
      </w:r>
      <w:r w:rsidR="004C1F85">
        <w:rPr>
          <w:rFonts w:ascii="Times New Roman" w:hAnsi="Times New Roman" w:cs="Times New Roman"/>
          <w:sz w:val="24"/>
          <w:szCs w:val="24"/>
        </w:rPr>
        <w:t xml:space="preserve"> kupnju stolica, stola u zbornici, stolova za informatičku učionicu.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A0" w:rsidRDefault="00FF20A0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A0">
        <w:rPr>
          <w:rFonts w:ascii="Times New Roman" w:hAnsi="Times New Roman" w:cs="Times New Roman"/>
          <w:b/>
          <w:sz w:val="24"/>
          <w:szCs w:val="24"/>
        </w:rPr>
        <w:t>AOP 020</w:t>
      </w:r>
      <w:r>
        <w:rPr>
          <w:rFonts w:ascii="Times New Roman" w:hAnsi="Times New Roman" w:cs="Times New Roman"/>
          <w:sz w:val="24"/>
          <w:szCs w:val="24"/>
        </w:rPr>
        <w:t xml:space="preserve"> – Sportska oprema – povećanje se odnosi na kupnju zaštitnih mreža, mreža za golove, lopti te metalne prepone. </w:t>
      </w:r>
      <w:r w:rsidR="00A71F23">
        <w:rPr>
          <w:rFonts w:ascii="Times New Roman" w:hAnsi="Times New Roman" w:cs="Times New Roman"/>
          <w:sz w:val="24"/>
          <w:szCs w:val="24"/>
        </w:rPr>
        <w:t xml:space="preserve">Sredstva su došla iz proračuna Grada te Ministarstva u sklopu provođenja kurikularne reforme. </w:t>
      </w:r>
    </w:p>
    <w:p w:rsidR="00FF20A0" w:rsidRDefault="00FF20A0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A0">
        <w:rPr>
          <w:rFonts w:ascii="Times New Roman" w:hAnsi="Times New Roman" w:cs="Times New Roman"/>
          <w:b/>
          <w:sz w:val="24"/>
          <w:szCs w:val="24"/>
        </w:rPr>
        <w:t>AOP 031</w:t>
      </w:r>
      <w:r>
        <w:rPr>
          <w:rFonts w:ascii="Times New Roman" w:hAnsi="Times New Roman" w:cs="Times New Roman"/>
          <w:sz w:val="24"/>
          <w:szCs w:val="24"/>
        </w:rPr>
        <w:t xml:space="preserve"> – Knjige – najveće povećanje nalazi se upravo na kontu Knjiga, a odnosi se na nabavku obveznih </w:t>
      </w:r>
      <w:r w:rsidR="00A71F23">
        <w:rPr>
          <w:rFonts w:ascii="Times New Roman" w:hAnsi="Times New Roman" w:cs="Times New Roman"/>
          <w:sz w:val="24"/>
          <w:szCs w:val="24"/>
        </w:rPr>
        <w:t>udžbenika za školsku godinu 2020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A71F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0A0" w:rsidRDefault="00FF20A0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A0">
        <w:rPr>
          <w:rFonts w:ascii="Times New Roman" w:hAnsi="Times New Roman" w:cs="Times New Roman"/>
          <w:b/>
          <w:sz w:val="24"/>
          <w:szCs w:val="24"/>
        </w:rPr>
        <w:t>AOP 049</w:t>
      </w:r>
      <w:r w:rsidR="00EC5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Sitan inventar – povećanje na kontu Sitnog inventara također se odnosi na nastavna pomagala koja su potrebna za provedbu kurikuluma. </w:t>
      </w:r>
    </w:p>
    <w:p w:rsidR="0075159A" w:rsidRDefault="0075159A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A0" w:rsidRDefault="00FF20A0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A0">
        <w:rPr>
          <w:rFonts w:ascii="Times New Roman" w:hAnsi="Times New Roman" w:cs="Times New Roman"/>
          <w:b/>
          <w:sz w:val="24"/>
          <w:szCs w:val="24"/>
        </w:rPr>
        <w:lastRenderedPageBreak/>
        <w:t>AOP 051</w:t>
      </w:r>
      <w:r>
        <w:rPr>
          <w:rFonts w:ascii="Times New Roman" w:hAnsi="Times New Roman" w:cs="Times New Roman"/>
          <w:sz w:val="24"/>
          <w:szCs w:val="24"/>
        </w:rPr>
        <w:t xml:space="preserve"> – Građevinski objekti – </w:t>
      </w:r>
      <w:r w:rsidR="00A71F23">
        <w:rPr>
          <w:rFonts w:ascii="Times New Roman" w:hAnsi="Times New Roman" w:cs="Times New Roman"/>
          <w:sz w:val="24"/>
          <w:szCs w:val="24"/>
        </w:rPr>
        <w:t xml:space="preserve">odnosi se na energetsku obnovu područne škole u Prigorce te područne škole u Kuljevčici.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D59" w:rsidRPr="00100E9E" w:rsidRDefault="00F03168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FA">
        <w:rPr>
          <w:rFonts w:ascii="Times New Roman" w:hAnsi="Times New Roman" w:cs="Times New Roman"/>
          <w:b/>
          <w:sz w:val="24"/>
          <w:szCs w:val="24"/>
        </w:rPr>
        <w:t>AOP 150</w:t>
      </w:r>
      <w:r w:rsidR="00962AFA">
        <w:rPr>
          <w:rFonts w:ascii="Times New Roman" w:hAnsi="Times New Roman" w:cs="Times New Roman"/>
          <w:sz w:val="24"/>
          <w:szCs w:val="24"/>
        </w:rPr>
        <w:t xml:space="preserve"> – Potraživanja za pomoći iz državnog proračuna temeljem prijenosa EU sredstava -  odnosi na potraživanje za projekt Školska shema – školsko voće i školsko mlijeko. </w:t>
      </w:r>
    </w:p>
    <w:p w:rsidR="00962AFA" w:rsidRDefault="00A71F23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164</w:t>
      </w:r>
      <w:r w:rsidR="00F03168" w:rsidRPr="00100E9E">
        <w:rPr>
          <w:rFonts w:ascii="Times New Roman" w:hAnsi="Times New Roman" w:cs="Times New Roman"/>
          <w:sz w:val="24"/>
          <w:szCs w:val="24"/>
        </w:rPr>
        <w:t xml:space="preserve"> </w:t>
      </w:r>
      <w:r w:rsidR="00962AFA">
        <w:rPr>
          <w:rFonts w:ascii="Times New Roman" w:hAnsi="Times New Roman" w:cs="Times New Roman"/>
          <w:sz w:val="24"/>
          <w:szCs w:val="24"/>
        </w:rPr>
        <w:t xml:space="preserve">– Kontinuirani rashodi budućih razdoblja - </w:t>
      </w:r>
      <w:r w:rsidR="00F03168" w:rsidRPr="00100E9E">
        <w:rPr>
          <w:rFonts w:ascii="Times New Roman" w:hAnsi="Times New Roman" w:cs="Times New Roman"/>
          <w:sz w:val="24"/>
          <w:szCs w:val="24"/>
        </w:rPr>
        <w:t>odnosi se na plaću za 12. mjesec, koja je evidentirana kao kontinuirani rashod bu</w:t>
      </w:r>
      <w:r>
        <w:rPr>
          <w:rFonts w:ascii="Times New Roman" w:hAnsi="Times New Roman" w:cs="Times New Roman"/>
          <w:sz w:val="24"/>
          <w:szCs w:val="24"/>
        </w:rPr>
        <w:t>dućeg razdoblja, budući da u 2020</w:t>
      </w:r>
      <w:r w:rsidR="00F03168" w:rsidRPr="00100E9E">
        <w:rPr>
          <w:rFonts w:ascii="Times New Roman" w:hAnsi="Times New Roman" w:cs="Times New Roman"/>
          <w:sz w:val="24"/>
          <w:szCs w:val="24"/>
        </w:rPr>
        <w:t xml:space="preserve">. godine već postoji 12 rashoda za plaće. </w:t>
      </w:r>
    </w:p>
    <w:p w:rsidR="00C53B9C" w:rsidRDefault="00A71F23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170</w:t>
      </w:r>
      <w:r w:rsidR="00F03168" w:rsidRPr="00100E9E">
        <w:rPr>
          <w:rFonts w:ascii="Times New Roman" w:hAnsi="Times New Roman" w:cs="Times New Roman"/>
          <w:sz w:val="24"/>
          <w:szCs w:val="24"/>
        </w:rPr>
        <w:t xml:space="preserve"> </w:t>
      </w:r>
      <w:r w:rsidR="00962AFA">
        <w:rPr>
          <w:rFonts w:ascii="Times New Roman" w:hAnsi="Times New Roman" w:cs="Times New Roman"/>
          <w:sz w:val="24"/>
          <w:szCs w:val="24"/>
        </w:rPr>
        <w:t xml:space="preserve">– Obveze za rashode poslovanja - </w:t>
      </w:r>
      <w:r w:rsidR="00F03168" w:rsidRPr="00100E9E">
        <w:rPr>
          <w:rFonts w:ascii="Times New Roman" w:hAnsi="Times New Roman" w:cs="Times New Roman"/>
          <w:sz w:val="24"/>
          <w:szCs w:val="24"/>
        </w:rPr>
        <w:t>odnosi se na obveze za rashode poslovanja koje uključuju obveze za zaposlene u iznosu od</w:t>
      </w:r>
      <w:r w:rsidR="006E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1.013.113,00</w:t>
      </w:r>
      <w:r w:rsidR="00F03168" w:rsidRPr="00100E9E">
        <w:rPr>
          <w:rFonts w:ascii="Times New Roman" w:hAnsi="Times New Roman" w:cs="Times New Roman"/>
          <w:sz w:val="24"/>
          <w:szCs w:val="24"/>
        </w:rPr>
        <w:t xml:space="preserve"> kn, za materijalne rashode u iznosu od </w:t>
      </w:r>
      <w:r>
        <w:rPr>
          <w:rFonts w:ascii="Times New Roman" w:hAnsi="Times New Roman" w:cs="Times New Roman"/>
          <w:sz w:val="24"/>
          <w:szCs w:val="24"/>
        </w:rPr>
        <w:t>94.149,00 kn</w:t>
      </w:r>
      <w:r w:rsidR="00F03168" w:rsidRPr="00100E9E">
        <w:rPr>
          <w:rFonts w:ascii="Times New Roman" w:hAnsi="Times New Roman" w:cs="Times New Roman"/>
          <w:sz w:val="24"/>
          <w:szCs w:val="24"/>
        </w:rPr>
        <w:t xml:space="preserve"> te ostale tekuće obv</w:t>
      </w:r>
      <w:r>
        <w:rPr>
          <w:rFonts w:ascii="Times New Roman" w:hAnsi="Times New Roman" w:cs="Times New Roman"/>
          <w:sz w:val="24"/>
          <w:szCs w:val="24"/>
        </w:rPr>
        <w:t xml:space="preserve">eze u iznosu od 357.627,00 kuna. </w:t>
      </w:r>
    </w:p>
    <w:p w:rsidR="00A71F23" w:rsidRDefault="00A71F23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23">
        <w:rPr>
          <w:rFonts w:ascii="Times New Roman" w:hAnsi="Times New Roman" w:cs="Times New Roman"/>
          <w:b/>
          <w:sz w:val="24"/>
          <w:szCs w:val="24"/>
        </w:rPr>
        <w:t>AOP 200</w:t>
      </w:r>
      <w:r>
        <w:rPr>
          <w:rFonts w:ascii="Times New Roman" w:hAnsi="Times New Roman" w:cs="Times New Roman"/>
          <w:sz w:val="24"/>
          <w:szCs w:val="24"/>
        </w:rPr>
        <w:t xml:space="preserve"> – Obveze za kredite od kreditnih institucija u javnom sektoru u iznosu od 136.416,00 kn.  </w:t>
      </w:r>
    </w:p>
    <w:p w:rsidR="00C53B9C" w:rsidRDefault="00C53B9C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9C">
        <w:rPr>
          <w:rFonts w:ascii="Times New Roman" w:hAnsi="Times New Roman" w:cs="Times New Roman"/>
          <w:b/>
          <w:sz w:val="24"/>
          <w:szCs w:val="24"/>
        </w:rPr>
        <w:t>AOP 232</w:t>
      </w:r>
      <w:r>
        <w:rPr>
          <w:rFonts w:ascii="Times New Roman" w:hAnsi="Times New Roman" w:cs="Times New Roman"/>
          <w:sz w:val="24"/>
          <w:szCs w:val="24"/>
        </w:rPr>
        <w:t xml:space="preserve"> – Višak prihoda poslo</w:t>
      </w:r>
      <w:r w:rsidR="0027336A">
        <w:rPr>
          <w:rFonts w:ascii="Times New Roman" w:hAnsi="Times New Roman" w:cs="Times New Roman"/>
          <w:sz w:val="24"/>
          <w:szCs w:val="24"/>
        </w:rPr>
        <w:t xml:space="preserve">vanja – u iznosu od  2.092.482,00 kn. </w:t>
      </w:r>
    </w:p>
    <w:p w:rsidR="00471D59" w:rsidRPr="00100E9E" w:rsidRDefault="00C53B9C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9C">
        <w:rPr>
          <w:rFonts w:ascii="Times New Roman" w:hAnsi="Times New Roman" w:cs="Times New Roman"/>
          <w:b/>
          <w:sz w:val="24"/>
          <w:szCs w:val="24"/>
        </w:rPr>
        <w:t>AOP 238</w:t>
      </w:r>
      <w:r>
        <w:rPr>
          <w:rFonts w:ascii="Times New Roman" w:hAnsi="Times New Roman" w:cs="Times New Roman"/>
          <w:sz w:val="24"/>
          <w:szCs w:val="24"/>
        </w:rPr>
        <w:t xml:space="preserve"> – Manjak prihoda od nefinancijske imovine - </w:t>
      </w:r>
      <w:r w:rsidR="00471D59">
        <w:rPr>
          <w:rFonts w:ascii="Times New Roman" w:hAnsi="Times New Roman" w:cs="Times New Roman"/>
          <w:sz w:val="24"/>
          <w:szCs w:val="24"/>
        </w:rPr>
        <w:t xml:space="preserve"> </w:t>
      </w:r>
      <w:r w:rsidR="0027336A">
        <w:rPr>
          <w:rFonts w:ascii="Times New Roman" w:hAnsi="Times New Roman" w:cs="Times New Roman"/>
          <w:sz w:val="24"/>
          <w:szCs w:val="24"/>
        </w:rPr>
        <w:t xml:space="preserve">u iznosu od 2.372.346,00 kn. </w:t>
      </w:r>
    </w:p>
    <w:p w:rsidR="003420A5" w:rsidRDefault="003420A5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A5">
        <w:rPr>
          <w:rFonts w:ascii="Times New Roman" w:hAnsi="Times New Roman" w:cs="Times New Roman"/>
          <w:b/>
          <w:sz w:val="24"/>
          <w:szCs w:val="24"/>
        </w:rPr>
        <w:t>AOP 244  i 245</w:t>
      </w:r>
      <w:r>
        <w:rPr>
          <w:rFonts w:ascii="Times New Roman" w:hAnsi="Times New Roman" w:cs="Times New Roman"/>
          <w:sz w:val="24"/>
          <w:szCs w:val="24"/>
        </w:rPr>
        <w:t xml:space="preserve"> – Izvanbilančni zapisi – Sukladno Ugovoru o nabavi opreme za opremanje </w:t>
      </w:r>
      <w:r w:rsidR="0071297C">
        <w:rPr>
          <w:rFonts w:ascii="Times New Roman" w:hAnsi="Times New Roman" w:cs="Times New Roman"/>
          <w:sz w:val="24"/>
          <w:szCs w:val="24"/>
        </w:rPr>
        <w:t xml:space="preserve">škole </w:t>
      </w:r>
      <w:r>
        <w:rPr>
          <w:rFonts w:ascii="Times New Roman" w:hAnsi="Times New Roman" w:cs="Times New Roman"/>
          <w:sz w:val="24"/>
          <w:szCs w:val="24"/>
        </w:rPr>
        <w:t xml:space="preserve"> u sklopu II. faze programa „e-Škole“ isporučena je oprema i to: 13 laptopa, 5 projektora te 226 tableta. </w:t>
      </w:r>
    </w:p>
    <w:p w:rsidR="00097CCC" w:rsidRDefault="00097CCC" w:rsidP="006B15C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9D3" w:rsidRDefault="006E79D3" w:rsidP="003420A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6D1" w:rsidRPr="003420A5" w:rsidRDefault="006A36D1" w:rsidP="003420A5">
      <w:pPr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</w:pPr>
      <w:r w:rsidRPr="003420A5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  <w:t xml:space="preserve">OBRAZAC PR-RAS  </w:t>
      </w:r>
    </w:p>
    <w:p w:rsidR="007547AB" w:rsidRDefault="007547AB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ab/>
      </w:r>
      <w:r w:rsidRPr="007547A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Za razdoblje od siječnja </w:t>
      </w:r>
      <w:r w:rsidR="00540ADA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do prosinca 2020</w:t>
      </w:r>
      <w:r w:rsidR="003A520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godine Škola je ostvarila 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ukupne prihode u iznosu od 16.111.635,00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(AOP 403) što je u odnosu na proteklu 201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9.godinu više za 9,3%, spomenutim primicima moramo pribrojiti primitke od financijske imovine u iznosu od 136.416,00 kuna pa ukupni primici iznose 16.248.051,00. U 2020. godini Škola je ostvarila ukupne rashode u iznosu od 16.586.805,00 (AOP 404) što je više za 13,9% više u odnosu na prošlu godinu. </w:t>
      </w:r>
    </w:p>
    <w:p w:rsidR="007547AB" w:rsidRDefault="00FA010C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Ukupni manjak prihoda </w:t>
      </w:r>
      <w:r w:rsidR="00097C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 2020.godini iznosi 338.754,00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kuna. </w:t>
      </w:r>
    </w:p>
    <w:p w:rsidR="007547AB" w:rsidRDefault="007547AB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Za 201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  <w:r w:rsidR="006F087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godinu iskazani je višak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prihoda u iznosu od 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58.889,00</w:t>
      </w:r>
      <w:r w:rsidR="006F087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FA010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(AOP 635).</w:t>
      </w:r>
    </w:p>
    <w:p w:rsidR="00FA010C" w:rsidRDefault="00FA010C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Tako da ukupni manjak za pokriće u 2021.godini iznosi </w:t>
      </w:r>
      <w:r w:rsidR="00097C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279.865,00 kuna. </w:t>
      </w:r>
    </w:p>
    <w:p w:rsidR="0071297C" w:rsidRDefault="0071297C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:rsidR="00FB3633" w:rsidRDefault="00FB3633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:rsidR="00097CCC" w:rsidRDefault="00097CCC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:rsidR="007547AB" w:rsidRDefault="002F75C0" w:rsidP="003420A5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lastRenderedPageBreak/>
        <w:t xml:space="preserve">Unutar izvješća došlo je do nekih odstupanja na određenim pozicijama kako slijedi: </w:t>
      </w:r>
    </w:p>
    <w:p w:rsidR="006F0878" w:rsidRDefault="006F0878" w:rsidP="006F0878">
      <w:pPr>
        <w:spacing w:after="200" w:line="36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6F08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058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Tekuće pomoći od izvanproračunskih korisnika – uplata Hrvatskog zavoda za zapošljavanje za mjeru potpore sufinanciranja </w:t>
      </w:r>
      <w:r w:rsidRPr="006F087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zapo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š</w:t>
      </w:r>
      <w:r w:rsidRPr="006F087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ljavanja za stjecanje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prvog radnog iskustva. </w:t>
      </w:r>
    </w:p>
    <w:p w:rsidR="00DB7B6D" w:rsidRDefault="006F0878" w:rsidP="00DB7B6D">
      <w:pPr>
        <w:spacing w:after="200" w:line="36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6F08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064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- </w:t>
      </w:r>
      <w:r w:rsidRPr="006F0878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>Tekuće pomoći proračunskim korisnicima iz proračuna koji im nije nadležan</w:t>
      </w:r>
      <w:r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 – rast osnovice plaća </w:t>
      </w:r>
      <w:r w:rsidR="00D333F9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 </w:t>
      </w:r>
      <w:r w:rsidR="00DB7B6D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dovelo po do povećanja prihoda iz nenadležnog proračuna. </w:t>
      </w:r>
    </w:p>
    <w:p w:rsidR="00DB7B6D" w:rsidRPr="00DB7B6D" w:rsidRDefault="00DB7B6D" w:rsidP="00DB7B6D">
      <w:pPr>
        <w:spacing w:after="200" w:line="36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DB7B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065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- </w:t>
      </w:r>
      <w:r w:rsidRPr="00DB7B6D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>Kapitalne pomoći proračunskim korisnicima iz proračuna koji im nije nadležan</w:t>
      </w:r>
      <w:r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 – sredstva se odnose na nabavku udžbenika obveznih</w:t>
      </w:r>
      <w:r w:rsidR="00B967C2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 predmeta za školsku godinu 2020./2021., sredstva za lektiru te nabavku hibridnih računala. </w:t>
      </w:r>
    </w:p>
    <w:p w:rsidR="00DB7B6D" w:rsidRDefault="00DB7B6D" w:rsidP="006F0878">
      <w:pPr>
        <w:spacing w:after="200" w:line="36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DB7B6D">
        <w:rPr>
          <w:rFonts w:ascii="Times New Roman" w:eastAsia="Times New Roman" w:hAnsi="Times New Roman" w:cs="Times New Roman"/>
          <w:b/>
          <w:color w:val="auto"/>
          <w:sz w:val="24"/>
          <w:szCs w:val="18"/>
          <w:lang w:eastAsia="hr-HR"/>
        </w:rPr>
        <w:t>AOP 067</w:t>
      </w:r>
      <w:r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 - </w:t>
      </w:r>
      <w:r w:rsidRPr="00DB7B6D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>Te</w:t>
      </w:r>
      <w:r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kuće pomoći temeljem prijenosa </w:t>
      </w:r>
      <w:r w:rsidRPr="00DB7B6D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>EU sredstava</w:t>
      </w:r>
      <w:r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 </w:t>
      </w:r>
      <w:r w:rsidR="00523EB4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>–</w:t>
      </w:r>
      <w:r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 </w:t>
      </w:r>
      <w:r w:rsidR="00523EB4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>sredstva se odnose na pokriće troškova vezanih uz projekt Shema školsk</w:t>
      </w:r>
      <w:r w:rsidR="00D333F9">
        <w:rPr>
          <w:rFonts w:ascii="Times New Roman" w:eastAsia="Times New Roman" w:hAnsi="Times New Roman" w:cs="Times New Roman"/>
          <w:color w:val="auto"/>
          <w:sz w:val="24"/>
          <w:szCs w:val="18"/>
          <w:lang w:eastAsia="hr-HR"/>
        </w:rPr>
        <w:t xml:space="preserve">o voće i mlijeko. S obzirom na situaciju vezanu uz aktualnu situaciju s virusom sredstva nisu bila isporučena nekoliko mjeseci. </w:t>
      </w:r>
    </w:p>
    <w:p w:rsidR="002F75C0" w:rsidRDefault="002F75C0" w:rsidP="0002429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6F08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072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Tekući prijenosi između proračunskih korisnika istog proračuna temeljem prijenosa EU sredstava- odnosi se na knjiženje prihoda za </w:t>
      </w:r>
      <w:r w:rsidR="008D421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plaće  asistenata u nastavi. </w:t>
      </w:r>
    </w:p>
    <w:p w:rsidR="00D333F9" w:rsidRPr="00D333F9" w:rsidRDefault="00D333F9" w:rsidP="0002429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AOP 116 – </w:t>
      </w:r>
      <w:r w:rsidRPr="00D333F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Ostali nespomenuti prihodi – najveći pad prihoda, odnosi se na smanjenje prihoda od uplata za školsku kuhinju( česte izolacije i samoizolacije, održavanje online nastave, otkazana Škola u prirodi, svi izleti, maturalac, pos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jeti kazalištu, p</w:t>
      </w:r>
      <w:r w:rsidRPr="00D333F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osjeti Ivankinoj kući bajke i sl.)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</w:p>
    <w:p w:rsidR="002F75C0" w:rsidRDefault="002F75C0" w:rsidP="0002429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8D42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131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više ostvareni prihodi iz nadležnog proračuna za financiranje rashoda za nabavu nefinancijske imovine </w:t>
      </w:r>
      <w:r w:rsidR="008D421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te primjena sredstva za radove vezane uz energetsku obnovu područnih škola.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:rsidR="002F75C0" w:rsidRDefault="002F75C0" w:rsidP="0002429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31B2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162</w:t>
      </w:r>
      <w:r w:rsidR="00D333F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smanjene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rashodi za prijevoz na stručna usavršavanja </w:t>
      </w:r>
      <w:r w:rsidR="00D333F9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zbog održavanja online webinara i sl. oblika usavršavanja. </w:t>
      </w:r>
    </w:p>
    <w:p w:rsidR="0057268B" w:rsidRDefault="0057268B" w:rsidP="0002429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5726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167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povećana potrošnja za nabavku materijala za čišćenje, dezinfekcijskih sredstava, rukavica, maski, papira za ruke i sl. </w:t>
      </w:r>
    </w:p>
    <w:p w:rsidR="002F75C0" w:rsidRDefault="00194D75" w:rsidP="0002429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A31B2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180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troškovi zdravstvenih usluga su povećani zbog povećanja broja zaposlenih koji su bili </w:t>
      </w:r>
      <w:r w:rsidR="00024292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upućeni na sistematske preglede</w:t>
      </w:r>
    </w:p>
    <w:p w:rsidR="0066245B" w:rsidRDefault="00024292" w:rsidP="009C02BC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0242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375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nabavku obveznih udžbenika i knjiga za školsku knjižnicu. </w:t>
      </w:r>
    </w:p>
    <w:p w:rsidR="00024292" w:rsidRDefault="00024292" w:rsidP="009C02BC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0242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394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EB0F3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EB0F3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projekte energetske obnove područnih škola. </w:t>
      </w:r>
    </w:p>
    <w:p w:rsidR="0066245B" w:rsidRDefault="00EB0F3F" w:rsidP="009C02BC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lastRenderedPageBreak/>
        <w:t>AOP 63</w:t>
      </w:r>
      <w:r w:rsidR="00F563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– </w:t>
      </w:r>
      <w:r w:rsidRPr="00EB0F3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ukupan 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manjak</w:t>
      </w:r>
      <w:r w:rsidRPr="00EB0F3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prihoda i primitaka iznosi 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338.754,00</w:t>
      </w:r>
      <w:r w:rsidRPr="00EB0F3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kuna.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</w:p>
    <w:p w:rsidR="00C04A1E" w:rsidRPr="00C04A1E" w:rsidRDefault="00C04A1E" w:rsidP="009C02BC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AOP 63</w:t>
      </w:r>
      <w:r w:rsidR="00F563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3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– 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višak</w:t>
      </w:r>
      <w:r w:rsidRPr="00C04A1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prihoda i primitaka preneseni iznosi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58.889,00</w:t>
      </w:r>
      <w:r w:rsidRPr="00C04A1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kuna. </w:t>
      </w:r>
    </w:p>
    <w:p w:rsidR="006A36D1" w:rsidRPr="006A36D1" w:rsidRDefault="006A36D1" w:rsidP="006A36D1">
      <w:pPr>
        <w:spacing w:after="200" w:line="276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 w:rsidRPr="006A36D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OBRAZAC RAS – funkcijski</w:t>
      </w:r>
    </w:p>
    <w:p w:rsidR="006A36D1" w:rsidRPr="006A36D1" w:rsidRDefault="006A36D1" w:rsidP="00805BC7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   AOP 110 prikazuje ukupne ra</w:t>
      </w:r>
      <w:r w:rsidR="009C02B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shode poslovanja u iznosu od 1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6.586.806</w:t>
      </w:r>
      <w:r w:rsidR="006B15C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,00 </w:t>
      </w: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kn umanj</w:t>
      </w:r>
      <w:r w:rsidR="006B15C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ene za dodatne usluge u obrazovanju </w:t>
      </w: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koji su prikazani u AOP 122 u iznosu od 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554.884</w:t>
      </w:r>
      <w:r w:rsidR="009C02B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,00</w:t>
      </w: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kn. Iz toga proizlazi razlika prikazana na AOP 113 u iznosu od </w:t>
      </w:r>
      <w:r w:rsidR="0075263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6.031.922</w:t>
      </w:r>
      <w:r w:rsidR="006B15C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,00 </w:t>
      </w: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što predstavlja sve ostale rashode primarne funkcije - osnovnog obrazovanja. </w:t>
      </w:r>
    </w:p>
    <w:p w:rsidR="006A36D1" w:rsidRPr="006A36D1" w:rsidRDefault="006A36D1" w:rsidP="006A36D1">
      <w:pPr>
        <w:spacing w:after="200" w:line="276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 w:rsidRPr="006A36D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OBRAZAC OBVEZE</w:t>
      </w:r>
    </w:p>
    <w:p w:rsidR="00F03168" w:rsidRPr="00E23A96" w:rsidRDefault="006A36D1" w:rsidP="00E23A96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   AOP 001 odnosi se na stanje obveza 01.01.20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20</w:t>
      </w:r>
      <w:r w:rsidR="009D17C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 godine u iznosu 1.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583.137,00 </w:t>
      </w: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kn. AOP 036 odnosi se na stanje nedospjelih obveza na kraju izvještajnog razdoblja u iznosu od </w:t>
      </w:r>
      <w:r w:rsidR="009D17C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1.</w:t>
      </w:r>
      <w:r w:rsidR="00F5636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601.305</w:t>
      </w:r>
      <w:r w:rsidR="00805BC7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,00</w:t>
      </w: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kn, od čega su obveze za zaposlene </w:t>
      </w:r>
      <w:r w:rsidR="00E027B7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CD02C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1.013.113</w:t>
      </w:r>
      <w:r w:rsidR="009D17C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,00 </w:t>
      </w:r>
      <w:r w:rsidR="00E027B7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kuna</w:t>
      </w:r>
      <w:r w:rsidR="009D17C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obveze za materijalne rashode </w:t>
      </w:r>
      <w:r w:rsidR="00CD02C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94.149,00</w:t>
      </w:r>
      <w:r w:rsidR="009D17C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,00 </w:t>
      </w: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kn, obveze za </w:t>
      </w:r>
      <w:r w:rsidR="00CD02C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EU predujmove 260.130</w:t>
      </w:r>
      <w:r w:rsidR="00EC150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,00 kuna, </w:t>
      </w:r>
      <w:r w:rsidRPr="006A36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obveze </w:t>
      </w:r>
      <w:r w:rsidR="00CD02C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za kredite od kreditnih institucija  136.415,87</w:t>
      </w:r>
      <w:r w:rsidR="00E027B7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kn</w:t>
      </w:r>
      <w:r w:rsidR="00CD02C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</w:p>
    <w:p w:rsidR="00381B97" w:rsidRDefault="002335DD" w:rsidP="00381B97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 nastavku</w:t>
      </w:r>
      <w:r w:rsidR="007D75C3">
        <w:rPr>
          <w:rFonts w:ascii="Times New Roman" w:hAnsi="Times New Roman" w:cs="Times New Roman"/>
          <w:color w:val="auto"/>
          <w:sz w:val="24"/>
          <w:szCs w:val="24"/>
        </w:rPr>
        <w:t xml:space="preserve"> bilješki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prikazana </w:t>
      </w:r>
      <w:r w:rsidR="007D75C3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auto"/>
          <w:sz w:val="24"/>
          <w:szCs w:val="24"/>
        </w:rPr>
        <w:t>struktura u</w:t>
      </w:r>
      <w:r w:rsidR="00EC1505">
        <w:rPr>
          <w:rFonts w:ascii="Times New Roman" w:hAnsi="Times New Roman" w:cs="Times New Roman"/>
          <w:color w:val="auto"/>
          <w:sz w:val="24"/>
          <w:szCs w:val="24"/>
        </w:rPr>
        <w:t>kupnih prihoda i rashoda za 20</w:t>
      </w:r>
      <w:r w:rsidR="00F56365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>. godinu.</w:t>
      </w:r>
    </w:p>
    <w:p w:rsidR="006E79D3" w:rsidRDefault="003851E7" w:rsidP="00381B97">
      <w:pPr>
        <w:spacing w:line="360" w:lineRule="auto"/>
        <w:ind w:left="0"/>
        <w:jc w:val="both"/>
        <w:rPr>
          <w:noProof/>
          <w:lang w:eastAsia="hr-HR"/>
        </w:rPr>
      </w:pPr>
      <w:r>
        <w:rPr>
          <w:noProof/>
        </w:rPr>
        <w:drawing>
          <wp:inline distT="0" distB="0" distL="0" distR="0" wp14:anchorId="7D23DF9B" wp14:editId="4062CE46">
            <wp:extent cx="5760720" cy="3295015"/>
            <wp:effectExtent l="0" t="0" r="11430" b="63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51E7" w:rsidRDefault="003851E7" w:rsidP="00381B97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51E7" w:rsidRDefault="003851E7" w:rsidP="00381B97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35DD" w:rsidRDefault="002335DD" w:rsidP="000D71A1">
      <w:pPr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709F" w:rsidRDefault="002335DD" w:rsidP="002335DD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Iz gore navedenog grafikona vidlji</w:t>
      </w:r>
      <w:r w:rsidR="001F44FF">
        <w:rPr>
          <w:rFonts w:ascii="Times New Roman" w:hAnsi="Times New Roman" w:cs="Times New Roman"/>
          <w:color w:val="auto"/>
          <w:sz w:val="24"/>
          <w:szCs w:val="24"/>
        </w:rPr>
        <w:t xml:space="preserve">vo je kako najveći udio od </w:t>
      </w:r>
      <w:r w:rsidR="003851E7">
        <w:rPr>
          <w:rFonts w:ascii="Times New Roman" w:hAnsi="Times New Roman" w:cs="Times New Roman"/>
          <w:color w:val="auto"/>
          <w:sz w:val="24"/>
          <w:szCs w:val="24"/>
        </w:rPr>
        <w:t xml:space="preserve">78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% u strukturi ukupnih prihoda imaju prihodi za plaće i doprinose zaposlenika škole. Nakon prihoda za plaće, slijede prihodi ostvareni od Varaždinske </w:t>
      </w:r>
      <w:r w:rsidR="001F44FF">
        <w:rPr>
          <w:rFonts w:ascii="Times New Roman" w:hAnsi="Times New Roman" w:cs="Times New Roman"/>
          <w:color w:val="auto"/>
          <w:sz w:val="24"/>
          <w:szCs w:val="24"/>
        </w:rPr>
        <w:t xml:space="preserve">županije i oni čine udio od </w:t>
      </w:r>
      <w:r w:rsidR="003851E7">
        <w:rPr>
          <w:rFonts w:ascii="Times New Roman" w:hAnsi="Times New Roman" w:cs="Times New Roman"/>
          <w:color w:val="auto"/>
          <w:sz w:val="24"/>
          <w:szCs w:val="24"/>
        </w:rPr>
        <w:t xml:space="preserve">11 </w:t>
      </w:r>
      <w:r>
        <w:rPr>
          <w:rFonts w:ascii="Times New Roman" w:hAnsi="Times New Roman" w:cs="Times New Roman"/>
          <w:color w:val="auto"/>
          <w:sz w:val="24"/>
          <w:szCs w:val="24"/>
        </w:rPr>
        <w:t>% svih prihoda. Ostali značajni prihodi slijede prihodi iz EU sredstav</w:t>
      </w:r>
      <w:r w:rsidR="001F44FF">
        <w:rPr>
          <w:rFonts w:ascii="Times New Roman" w:hAnsi="Times New Roman" w:cs="Times New Roman"/>
          <w:color w:val="auto"/>
          <w:sz w:val="24"/>
          <w:szCs w:val="24"/>
        </w:rPr>
        <w:t xml:space="preserve">a koji čine </w:t>
      </w:r>
      <w:r w:rsidR="003851E7">
        <w:rPr>
          <w:rFonts w:ascii="Times New Roman" w:hAnsi="Times New Roman" w:cs="Times New Roman"/>
          <w:color w:val="auto"/>
          <w:sz w:val="24"/>
          <w:szCs w:val="24"/>
        </w:rPr>
        <w:t xml:space="preserve"> 8</w:t>
      </w:r>
      <w:r w:rsidR="0094709F">
        <w:rPr>
          <w:rFonts w:ascii="Times New Roman" w:hAnsi="Times New Roman" w:cs="Times New Roman"/>
          <w:color w:val="auto"/>
          <w:sz w:val="24"/>
          <w:szCs w:val="24"/>
        </w:rPr>
        <w:t xml:space="preserve">% svih prihoda te ostatak strukture prihoda čine </w:t>
      </w:r>
      <w:r w:rsidR="001F44FF">
        <w:rPr>
          <w:rFonts w:ascii="Times New Roman" w:hAnsi="Times New Roman" w:cs="Times New Roman"/>
          <w:color w:val="auto"/>
          <w:sz w:val="24"/>
          <w:szCs w:val="24"/>
        </w:rPr>
        <w:t xml:space="preserve">ostali prihodi od Grada Ivanca sa </w:t>
      </w:r>
      <w:r w:rsidR="003851E7">
        <w:rPr>
          <w:rFonts w:ascii="Times New Roman" w:hAnsi="Times New Roman" w:cs="Times New Roman"/>
          <w:color w:val="auto"/>
          <w:sz w:val="24"/>
          <w:szCs w:val="24"/>
        </w:rPr>
        <w:t xml:space="preserve"> 0,68</w:t>
      </w:r>
      <w:r w:rsidR="0094709F">
        <w:rPr>
          <w:rFonts w:ascii="Times New Roman" w:hAnsi="Times New Roman" w:cs="Times New Roman"/>
          <w:color w:val="auto"/>
          <w:sz w:val="24"/>
          <w:szCs w:val="24"/>
        </w:rPr>
        <w:t>%.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4709F" w:rsidRDefault="002335DD" w:rsidP="002335DD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sljedećem grafikonu prikazana je s</w:t>
      </w:r>
      <w:r w:rsidR="000310B9">
        <w:rPr>
          <w:rFonts w:ascii="Times New Roman" w:hAnsi="Times New Roman" w:cs="Times New Roman"/>
          <w:color w:val="auto"/>
          <w:sz w:val="24"/>
          <w:szCs w:val="24"/>
        </w:rPr>
        <w:t>truktura ukupnih rashoda za 20</w:t>
      </w:r>
      <w:r w:rsidR="00D60F69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>. godinu.</w:t>
      </w:r>
    </w:p>
    <w:p w:rsidR="00EC576C" w:rsidRDefault="00EC576C" w:rsidP="002335DD">
      <w:pPr>
        <w:ind w:left="0"/>
        <w:jc w:val="both"/>
        <w:rPr>
          <w:noProof/>
          <w:lang w:eastAsia="hr-HR"/>
        </w:rPr>
      </w:pPr>
    </w:p>
    <w:p w:rsidR="00E63450" w:rsidRDefault="00D60F69" w:rsidP="00D60F69">
      <w:pPr>
        <w:ind w:left="0"/>
        <w:jc w:val="both"/>
        <w:rPr>
          <w:noProof/>
          <w:lang w:eastAsia="hr-HR"/>
        </w:rPr>
      </w:pPr>
      <w:r>
        <w:rPr>
          <w:noProof/>
        </w:rPr>
        <w:drawing>
          <wp:inline distT="0" distB="0" distL="0" distR="0" wp14:anchorId="6B42AC4B" wp14:editId="23C1C2F3">
            <wp:extent cx="5760720" cy="3433445"/>
            <wp:effectExtent l="0" t="0" r="11430" b="1460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00CC" w:rsidRPr="00EC576C" w:rsidRDefault="0094709F" w:rsidP="00EC576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Najveći udio u toj strukturi imaju rashodi za plaće zaposlenik</w:t>
      </w:r>
      <w:r w:rsidR="000D4E39">
        <w:rPr>
          <w:rFonts w:ascii="Times New Roman" w:hAnsi="Times New Roman" w:cs="Times New Roman"/>
          <w:color w:val="auto"/>
          <w:sz w:val="24"/>
          <w:szCs w:val="24"/>
        </w:rPr>
        <w:t xml:space="preserve">a škole, koje čine udio od 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76</w:t>
      </w:r>
      <w:r>
        <w:rPr>
          <w:rFonts w:ascii="Times New Roman" w:hAnsi="Times New Roman" w:cs="Times New Roman"/>
          <w:color w:val="auto"/>
          <w:sz w:val="24"/>
          <w:szCs w:val="24"/>
        </w:rPr>
        <w:t>%. Nakon plaća, najveći udio imaju rashodi vezani</w:t>
      </w:r>
      <w:r w:rsidR="000D4E39">
        <w:rPr>
          <w:rFonts w:ascii="Times New Roman" w:hAnsi="Times New Roman" w:cs="Times New Roman"/>
          <w:color w:val="auto"/>
          <w:sz w:val="24"/>
          <w:szCs w:val="24"/>
        </w:rPr>
        <w:t xml:space="preserve"> uz 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EU sredstva – projekte energetske obnove</w:t>
      </w:r>
      <w:r w:rsidR="000D4E39">
        <w:rPr>
          <w:rFonts w:ascii="Times New Roman" w:hAnsi="Times New Roman" w:cs="Times New Roman"/>
          <w:color w:val="auto"/>
          <w:sz w:val="24"/>
          <w:szCs w:val="24"/>
        </w:rPr>
        <w:t xml:space="preserve"> sa 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%, a zatim slijede rashodi koji se odnose na 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materijalne rashode, financirane od strane Županije</w:t>
      </w:r>
      <w:r w:rsidR="00E23A96">
        <w:rPr>
          <w:rFonts w:ascii="Times New Roman" w:hAnsi="Times New Roman" w:cs="Times New Roman"/>
          <w:color w:val="auto"/>
          <w:sz w:val="24"/>
          <w:szCs w:val="24"/>
        </w:rPr>
        <w:t xml:space="preserve"> od 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>%.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100CC" w:rsidRDefault="00FB3633" w:rsidP="008100C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Ukupni prihodi od I-XII 20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23A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3A96">
        <w:rPr>
          <w:rFonts w:ascii="Times New Roman" w:hAnsi="Times New Roman" w:cs="Times New Roman"/>
          <w:color w:val="auto"/>
          <w:sz w:val="24"/>
          <w:szCs w:val="24"/>
        </w:rPr>
        <w:t>veći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su za  </w:t>
      </w:r>
      <w:r w:rsidR="00871611">
        <w:rPr>
          <w:rFonts w:ascii="Times New Roman" w:hAnsi="Times New Roman" w:cs="Times New Roman"/>
          <w:color w:val="auto"/>
          <w:sz w:val="24"/>
          <w:szCs w:val="24"/>
        </w:rPr>
        <w:t xml:space="preserve">  9,3</w:t>
      </w:r>
      <w:r>
        <w:rPr>
          <w:rFonts w:ascii="Times New Roman" w:hAnsi="Times New Roman" w:cs="Times New Roman"/>
          <w:color w:val="auto"/>
          <w:sz w:val="24"/>
          <w:szCs w:val="24"/>
        </w:rPr>
        <w:t>%   u odnosu na isto razdoblje 201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100CC">
        <w:rPr>
          <w:rFonts w:ascii="Times New Roman" w:hAnsi="Times New Roman" w:cs="Times New Roman"/>
          <w:color w:val="auto"/>
          <w:sz w:val="24"/>
          <w:szCs w:val="24"/>
        </w:rPr>
        <w:t>. godine.</w:t>
      </w:r>
    </w:p>
    <w:p w:rsidR="008100CC" w:rsidRDefault="008100CC" w:rsidP="00EC576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Ukupn</w:t>
      </w:r>
      <w:r w:rsidR="00FB3633">
        <w:rPr>
          <w:rFonts w:ascii="Times New Roman" w:hAnsi="Times New Roman" w:cs="Times New Roman"/>
          <w:color w:val="auto"/>
          <w:sz w:val="24"/>
          <w:szCs w:val="24"/>
        </w:rPr>
        <w:t>i rashodi od I-XII 20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FB3633">
        <w:rPr>
          <w:rFonts w:ascii="Times New Roman" w:hAnsi="Times New Roman" w:cs="Times New Roman"/>
          <w:color w:val="auto"/>
          <w:sz w:val="24"/>
          <w:szCs w:val="24"/>
        </w:rPr>
        <w:t xml:space="preserve">.  veći su za   </w:t>
      </w:r>
      <w:r w:rsidR="00871611">
        <w:rPr>
          <w:rFonts w:ascii="Times New Roman" w:hAnsi="Times New Roman" w:cs="Times New Roman"/>
          <w:color w:val="auto"/>
          <w:sz w:val="24"/>
          <w:szCs w:val="24"/>
        </w:rPr>
        <w:t>13,9</w:t>
      </w:r>
      <w:r w:rsidR="00FB3633">
        <w:rPr>
          <w:rFonts w:ascii="Times New Roman" w:hAnsi="Times New Roman" w:cs="Times New Roman"/>
          <w:color w:val="auto"/>
          <w:sz w:val="24"/>
          <w:szCs w:val="24"/>
        </w:rPr>
        <w:t>%   u odnosu na isto razdoblje 201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godine. </w:t>
      </w:r>
    </w:p>
    <w:p w:rsidR="008100CC" w:rsidRDefault="00EC576C" w:rsidP="008100C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 Ivancu 31.01.202</w:t>
      </w:r>
      <w:r w:rsidR="00B4441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100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100CC" w:rsidRDefault="008100CC" w:rsidP="008100C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12DD" w:rsidRDefault="007B12DD" w:rsidP="008100C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100CC" w:rsidRDefault="008100CC" w:rsidP="008100CC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Osoba za kontakt: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Zakonski zastupnik:</w:t>
      </w:r>
    </w:p>
    <w:p w:rsidR="008100CC" w:rsidRDefault="008100CC" w:rsidP="008100CC">
      <w:pPr>
        <w:ind w:left="0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____________________</w:t>
      </w:r>
    </w:p>
    <w:p w:rsidR="0094709F" w:rsidRPr="008100CC" w:rsidRDefault="008100CC" w:rsidP="008100CC">
      <w:pPr>
        <w:ind w:left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/Ivana Borovečki/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/Damir Jagić/</w:t>
      </w:r>
    </w:p>
    <w:sectPr w:rsidR="0094709F" w:rsidRPr="008100CC" w:rsidSect="00E730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84646"/>
    <w:multiLevelType w:val="hybridMultilevel"/>
    <w:tmpl w:val="76484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DD"/>
    <w:rsid w:val="00024292"/>
    <w:rsid w:val="000310B9"/>
    <w:rsid w:val="00054277"/>
    <w:rsid w:val="00097CCC"/>
    <w:rsid w:val="000D4E39"/>
    <w:rsid w:val="000D71A1"/>
    <w:rsid w:val="00135497"/>
    <w:rsid w:val="00146839"/>
    <w:rsid w:val="00164F3D"/>
    <w:rsid w:val="00194D75"/>
    <w:rsid w:val="001D1A8C"/>
    <w:rsid w:val="001D4762"/>
    <w:rsid w:val="001F44FF"/>
    <w:rsid w:val="002335DD"/>
    <w:rsid w:val="0027336A"/>
    <w:rsid w:val="002F75C0"/>
    <w:rsid w:val="00304FEF"/>
    <w:rsid w:val="003420A5"/>
    <w:rsid w:val="00381B97"/>
    <w:rsid w:val="003851E7"/>
    <w:rsid w:val="003965C2"/>
    <w:rsid w:val="003A5202"/>
    <w:rsid w:val="00404120"/>
    <w:rsid w:val="00471D59"/>
    <w:rsid w:val="004A3E92"/>
    <w:rsid w:val="004C1F85"/>
    <w:rsid w:val="00523EB4"/>
    <w:rsid w:val="00540ADA"/>
    <w:rsid w:val="0057268B"/>
    <w:rsid w:val="0066245B"/>
    <w:rsid w:val="0069426A"/>
    <w:rsid w:val="00697044"/>
    <w:rsid w:val="006A36D1"/>
    <w:rsid w:val="006B15C1"/>
    <w:rsid w:val="006E79D3"/>
    <w:rsid w:val="006F0878"/>
    <w:rsid w:val="0071297C"/>
    <w:rsid w:val="0075159A"/>
    <w:rsid w:val="00752638"/>
    <w:rsid w:val="00753612"/>
    <w:rsid w:val="007547AB"/>
    <w:rsid w:val="00761EA3"/>
    <w:rsid w:val="007B12DD"/>
    <w:rsid w:val="007C00B9"/>
    <w:rsid w:val="007D75C3"/>
    <w:rsid w:val="00805BC7"/>
    <w:rsid w:val="008100CC"/>
    <w:rsid w:val="00812011"/>
    <w:rsid w:val="00871611"/>
    <w:rsid w:val="008D4210"/>
    <w:rsid w:val="00900782"/>
    <w:rsid w:val="0094286B"/>
    <w:rsid w:val="0094709F"/>
    <w:rsid w:val="00962AFA"/>
    <w:rsid w:val="0098741B"/>
    <w:rsid w:val="009C02BC"/>
    <w:rsid w:val="009D17CE"/>
    <w:rsid w:val="00A31B2E"/>
    <w:rsid w:val="00A71F23"/>
    <w:rsid w:val="00AD674E"/>
    <w:rsid w:val="00AE27FB"/>
    <w:rsid w:val="00AF06CC"/>
    <w:rsid w:val="00B16860"/>
    <w:rsid w:val="00B44417"/>
    <w:rsid w:val="00B967C2"/>
    <w:rsid w:val="00BC6D62"/>
    <w:rsid w:val="00C04A1E"/>
    <w:rsid w:val="00C5274D"/>
    <w:rsid w:val="00C53B9C"/>
    <w:rsid w:val="00C90EB1"/>
    <w:rsid w:val="00CD02C5"/>
    <w:rsid w:val="00CE68A2"/>
    <w:rsid w:val="00D11BA1"/>
    <w:rsid w:val="00D262FD"/>
    <w:rsid w:val="00D333F9"/>
    <w:rsid w:val="00D40F97"/>
    <w:rsid w:val="00D60F69"/>
    <w:rsid w:val="00DB7B6D"/>
    <w:rsid w:val="00E027B7"/>
    <w:rsid w:val="00E23A96"/>
    <w:rsid w:val="00E730F0"/>
    <w:rsid w:val="00EB0F3F"/>
    <w:rsid w:val="00EC1505"/>
    <w:rsid w:val="00EC576C"/>
    <w:rsid w:val="00F03168"/>
    <w:rsid w:val="00F17206"/>
    <w:rsid w:val="00F340F0"/>
    <w:rsid w:val="00F56365"/>
    <w:rsid w:val="00F93FEC"/>
    <w:rsid w:val="00FA010C"/>
    <w:rsid w:val="00FB3633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8C12"/>
  <w15:docId w15:val="{D6D49B01-C63F-4F3B-802D-CE76B56F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DD"/>
    <w:pPr>
      <w:spacing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0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497"/>
    <w:rPr>
      <w:rFonts w:ascii="Tahoma" w:hAnsi="Tahoma" w:cs="Tahoma"/>
      <w:color w:val="5A5A5A" w:themeColor="text1" w:themeTint="A5"/>
      <w:sz w:val="16"/>
      <w:szCs w:val="16"/>
    </w:rPr>
  </w:style>
  <w:style w:type="paragraph" w:styleId="Bezproreda">
    <w:name w:val="No Spacing"/>
    <w:uiPriority w:val="1"/>
    <w:qFormat/>
    <w:rsid w:val="00F0316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800" b="1">
                <a:solidFill>
                  <a:sysClr val="windowText" lastClr="000000"/>
                </a:solidFill>
              </a:rPr>
              <a:t>Struktura</a:t>
            </a:r>
            <a:r>
              <a:rPr lang="hr-HR" sz="1800" b="1" baseline="0">
                <a:solidFill>
                  <a:sysClr val="windowText" lastClr="000000"/>
                </a:solidFill>
              </a:rPr>
              <a:t> prihoda 2020. godine</a:t>
            </a:r>
            <a:r>
              <a:rPr lang="hr-HR" sz="1800" baseline="0"/>
              <a:t>. </a:t>
            </a:r>
            <a:endParaRPr lang="hr-HR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0C8-497C-A192-8AF0C5B996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0C8-497C-A192-8AF0C5B996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0C8-497C-A192-8AF0C5B996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0C8-497C-A192-8AF0C5B996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0C8-497C-A192-8AF0C5B996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0C8-497C-A192-8AF0C5B99604}"/>
              </c:ext>
            </c:extLst>
          </c:dPt>
          <c:dLbls>
            <c:dLbl>
              <c:idx val="0"/>
              <c:layout>
                <c:manualLayout>
                  <c:x val="9.3277597505257714E-2"/>
                  <c:y val="2.3697390767330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C8-497C-A192-8AF0C5B99604}"/>
                </c:ext>
              </c:extLst>
            </c:dLbl>
            <c:dLbl>
              <c:idx val="1"/>
              <c:layout>
                <c:manualLayout>
                  <c:x val="-8.0252440637044981E-2"/>
                  <c:y val="0.171721167207040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C8-497C-A192-8AF0C5B99604}"/>
                </c:ext>
              </c:extLst>
            </c:dLbl>
            <c:dLbl>
              <c:idx val="2"/>
              <c:layout>
                <c:manualLayout>
                  <c:x val="-9.0934152606907404E-2"/>
                  <c:y val="0.104636714528331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C8-497C-A192-8AF0C5B99604}"/>
                </c:ext>
              </c:extLst>
            </c:dLbl>
            <c:dLbl>
              <c:idx val="3"/>
              <c:layout>
                <c:manualLayout>
                  <c:x val="-0.1614799734855244"/>
                  <c:y val="2.0035510267098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C8-497C-A192-8AF0C5B99604}"/>
                </c:ext>
              </c:extLst>
            </c:dLbl>
            <c:dLbl>
              <c:idx val="4"/>
              <c:layout>
                <c:manualLayout>
                  <c:x val="-6.3737350268165766E-2"/>
                  <c:y val="-1.833287015593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0C8-497C-A192-8AF0C5B996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 Struktura prihoda 2017.'!$A$2:$A$7</c:f>
              <c:strCache>
                <c:ptCount val="6"/>
                <c:pt idx="0">
                  <c:v>Prihodi za Energestku obnovu -FRR</c:v>
                </c:pt>
                <c:pt idx="1">
                  <c:v>Prihodi za plaće - Ministarstvo </c:v>
                </c:pt>
                <c:pt idx="2">
                  <c:v>Grad Ivanec </c:v>
                </c:pt>
                <c:pt idx="3">
                  <c:v>Varaždinska županija </c:v>
                </c:pt>
                <c:pt idx="4">
                  <c:v>Prihodi po posebnim propisima </c:v>
                </c:pt>
                <c:pt idx="5">
                  <c:v>Ostali prihodi (ENO, donacije, stambeni objekti) </c:v>
                </c:pt>
              </c:strCache>
            </c:strRef>
          </c:cat>
          <c:val>
            <c:numRef>
              <c:f>' Struktura prihoda 2017.'!$B$2:$B$7</c:f>
              <c:numCache>
                <c:formatCode>#,##0.00</c:formatCode>
                <c:ptCount val="6"/>
                <c:pt idx="0" formatCode="#,##0">
                  <c:v>126269</c:v>
                </c:pt>
                <c:pt idx="1">
                  <c:v>12478030</c:v>
                </c:pt>
                <c:pt idx="2">
                  <c:v>109445</c:v>
                </c:pt>
                <c:pt idx="3">
                  <c:v>1833198</c:v>
                </c:pt>
                <c:pt idx="4">
                  <c:v>146000</c:v>
                </c:pt>
                <c:pt idx="5">
                  <c:v>1418055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0C8-497C-A192-8AF0C5B99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52274715660541"/>
          <c:y val="0.17323891805191019"/>
          <c:w val="0.32881058617672793"/>
          <c:h val="0.621531058617672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3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r-HR" sz="1800" b="1">
                <a:solidFill>
                  <a:sysClr val="windowText" lastClr="000000"/>
                </a:solidFill>
              </a:rPr>
              <a:t>Struktura</a:t>
            </a:r>
            <a:r>
              <a:rPr lang="hr-HR" sz="1800" b="1" baseline="0">
                <a:solidFill>
                  <a:sysClr val="windowText" lastClr="000000"/>
                </a:solidFill>
              </a:rPr>
              <a:t> rashoda 2020. godine</a:t>
            </a:r>
            <a:endParaRPr lang="hr-HR" sz="18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E1-495D-A6D9-111E916FE9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E1-495D-A6D9-111E916FE9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E1-495D-A6D9-111E916FE9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0E1-495D-A6D9-111E916FE95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0E1-495D-A6D9-111E916FE958}"/>
              </c:ext>
            </c:extLst>
          </c:dPt>
          <c:dLbls>
            <c:dLbl>
              <c:idx val="0"/>
              <c:layout>
                <c:manualLayout>
                  <c:x val="0.11124393050826074"/>
                  <c:y val="-3.6326333774250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E1-495D-A6D9-111E916FE958}"/>
                </c:ext>
              </c:extLst>
            </c:dLbl>
            <c:dLbl>
              <c:idx val="1"/>
              <c:layout>
                <c:manualLayout>
                  <c:x val="-8.7113917265733379E-2"/>
                  <c:y val="0.11389798280423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E1-495D-A6D9-111E916FE958}"/>
                </c:ext>
              </c:extLst>
            </c:dLbl>
            <c:dLbl>
              <c:idx val="2"/>
              <c:layout>
                <c:manualLayout>
                  <c:x val="-8.5506684323369914E-2"/>
                  <c:y val="-1.063381834215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E1-495D-A6D9-111E916FE958}"/>
                </c:ext>
              </c:extLst>
            </c:dLbl>
            <c:dLbl>
              <c:idx val="3"/>
              <c:layout>
                <c:manualLayout>
                  <c:x val="-8.328249148694665E-2"/>
                  <c:y val="-3.440062830687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E1-495D-A6D9-111E916FE958}"/>
                </c:ext>
              </c:extLst>
            </c:dLbl>
            <c:dLbl>
              <c:idx val="4"/>
              <c:layout>
                <c:manualLayout>
                  <c:x val="0.13344368772859133"/>
                  <c:y val="3.2016093474426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E1-495D-A6D9-111E916FE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'Strukutra rashoda 2017. '!$A$2:$A$6</c:f>
              <c:strCache>
                <c:ptCount val="5"/>
                <c:pt idx="0">
                  <c:v>Rashodi za plaće Ministarstvo </c:v>
                </c:pt>
                <c:pt idx="1">
                  <c:v>EU sredstva</c:v>
                </c:pt>
                <c:pt idx="2">
                  <c:v>Varaždinska županija</c:v>
                </c:pt>
                <c:pt idx="3">
                  <c:v>Grad Ivanec</c:v>
                </c:pt>
                <c:pt idx="4">
                  <c:v>Rashodi po pos. pr.</c:v>
                </c:pt>
              </c:strCache>
            </c:strRef>
          </c:cat>
          <c:val>
            <c:numRef>
              <c:f>'Strukutra rashoda 2017. '!$B$2:$B$6</c:f>
              <c:numCache>
                <c:formatCode>#,##0.00</c:formatCode>
                <c:ptCount val="5"/>
                <c:pt idx="0" formatCode="#,##0">
                  <c:v>12612988</c:v>
                </c:pt>
                <c:pt idx="1">
                  <c:v>1716050</c:v>
                </c:pt>
                <c:pt idx="2" formatCode="#,##0">
                  <c:v>1778607</c:v>
                </c:pt>
                <c:pt idx="3" formatCode="#,##0">
                  <c:v>109126</c:v>
                </c:pt>
                <c:pt idx="4" formatCode="#,##0">
                  <c:v>370033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E1-495D-A6D9-111E916FE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3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Pajtak</dc:creator>
  <cp:lastModifiedBy>Računovodstvo 1</cp:lastModifiedBy>
  <cp:revision>3</cp:revision>
  <cp:lastPrinted>2021-01-29T07:18:00Z</cp:lastPrinted>
  <dcterms:created xsi:type="dcterms:W3CDTF">2021-01-29T07:19:00Z</dcterms:created>
  <dcterms:modified xsi:type="dcterms:W3CDTF">2021-02-02T07:50:00Z</dcterms:modified>
</cp:coreProperties>
</file>